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Domain handover checklist</w:t>
      </w:r>
    </w:p>
    <w:p>
      <w:r>
        <w:t>An editable planning pack for moving a business domain between providers. Use it with the people managing your website, DNS and email to agree the changes, check the outcome and record who owns each step.</w:t>
      </w:r>
    </w:p>
    <w:p>
      <w:pPr>
        <w:pStyle w:val="Heading1"/>
      </w:pPr>
      <w:r>
        <w:t>Use this pack</w:t>
      </w:r>
    </w:p>
    <w:p>
      <w:r>
        <w:t>Save your own copy. Complete the scope below, then give each checklist item an owner. Mark items Done, Not applicable or Blocked, with evidence. Do not proceed with a blocked dependency. Page 4 shows a completed fictional example.</w:t>
      </w:r>
    </w:p>
    <w:p>
      <w:r>
        <w:t>This is a coordination checklist, not a universal transfer procedure. Requirements depend on the domain extension and providers. Ask them to confirm eligibility, authorisation, timing and charges before starting.</w:t>
      </w:r>
    </w:p>
    <w:p>
      <w:pPr>
        <w:pStyle w:val="Heading1"/>
      </w:pPr>
      <w:r>
        <w:t>Agree what is changing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46"/>
        <w:gridCol w:w="4946"/>
      </w:tblGrid>
      <w:tr>
        <w:trPr>
          <w:cantSplit/>
        </w:trPr>
        <w:tc>
          <w:tcPr>
            <w:tcW w:type="dxa" w:w="4946"/>
            <w:shd w:fill="F5F1FB"/>
          </w:tcPr>
          <w:p>
            <w:r>
              <w:t>Item</w:t>
            </w:r>
          </w:p>
        </w:tc>
        <w:tc>
          <w:tcPr>
            <w:tcW w:type="dxa" w:w="4946"/>
            <w:shd w:fill="F5F1FB"/>
          </w:tcPr>
          <w:p>
            <w:r>
              <w:t>Your details</w:t>
            </w:r>
          </w:p>
        </w:tc>
      </w:tr>
      <w:tr>
        <w:trPr>
          <w:cantSplit/>
        </w:trPr>
        <w:tc>
          <w:tcPr>
            <w:tcW w:type="dxa" w:w="4946"/>
          </w:tcPr>
          <w:p>
            <w:r>
              <w:t>Domain name</w:t>
            </w:r>
          </w:p>
        </w:tc>
        <w:tc>
          <w:tcPr>
            <w:tcW w:type="dxa" w:w="4946"/>
          </w:tcPr>
          <w:p>
            <w:r/>
          </w:p>
        </w:tc>
      </w:tr>
      <w:tr>
        <w:trPr>
          <w:cantSplit/>
        </w:trPr>
        <w:tc>
          <w:tcPr>
            <w:tcW w:type="dxa" w:w="4946"/>
          </w:tcPr>
          <w:p>
            <w:r>
              <w:t>Business owner and authorised approver</w:t>
            </w:r>
          </w:p>
        </w:tc>
        <w:tc>
          <w:tcPr>
            <w:tcW w:type="dxa" w:w="4946"/>
          </w:tcPr>
          <w:p>
            <w:r/>
          </w:p>
        </w:tc>
      </w:tr>
      <w:tr>
        <w:trPr>
          <w:cantSplit/>
        </w:trPr>
        <w:tc>
          <w:tcPr>
            <w:tcW w:type="dxa" w:w="4946"/>
          </w:tcPr>
          <w:p>
            <w:r>
              <w:t>Coordinator and contact</w:t>
            </w:r>
          </w:p>
        </w:tc>
        <w:tc>
          <w:tcPr>
            <w:tcW w:type="dxa" w:w="4946"/>
          </w:tcPr>
          <w:p>
            <w:r/>
          </w:p>
        </w:tc>
      </w:tr>
      <w:tr>
        <w:trPr>
          <w:cantSplit/>
        </w:trPr>
        <w:tc>
          <w:tcPr>
            <w:tcW w:type="dxa" w:w="4946"/>
          </w:tcPr>
          <w:p>
            <w:r>
              <w:t>Change window and timezone</w:t>
            </w:r>
          </w:p>
        </w:tc>
        <w:tc>
          <w:tcPr>
            <w:tcW w:type="dxa" w:w="4946"/>
          </w:tcPr>
          <w:p>
            <w:r/>
          </w:p>
        </w:tc>
      </w:tr>
      <w:tr>
        <w:trPr>
          <w:cantSplit/>
        </w:trPr>
        <w:tc>
          <w:tcPr>
            <w:tcW w:type="dxa" w:w="4946"/>
          </w:tcPr>
          <w:p>
            <w:r>
              <w:t>Escalation and rollback contact</w:t>
            </w:r>
          </w:p>
        </w:tc>
        <w:tc>
          <w:tcPr>
            <w:tcW w:type="dxa" w:w="4946"/>
          </w:tcPr>
          <w:p>
            <w:r/>
          </w:p>
        </w:tc>
      </w:tr>
    </w:tbl>
    <w:p>
      <w:r>
        <w:t>Mark each: Registrar [ ]   DNS hosting or nameservers [ ]   Website hosting [ ]   Email hosting [ ]</w:t>
      </w:r>
    </w:p>
    <w:p>
      <w:r>
        <w:t>The registrar manages registration and renewal. DNS tells browsers and mail systems where services are. Website and email hosting are separate services. A registrar transfer alone does not move website files or mailboxes. Confirm which existing services will continue.</w:t>
      </w:r>
    </w:p>
    <w:p>
      <w:pPr>
        <w:pStyle w:val="Heading1"/>
      </w:pPr>
      <w:r>
        <w:t>Keep credentials separate</w:t>
      </w:r>
    </w:p>
    <w:p>
      <w:r>
        <w:t>Never put passwords, transfer authorisation codes, recovery codes or private keys in this shared file. Record who holds access; exchange secrets through an agreed secure channel.</w:t>
      </w:r>
    </w:p>
    <w:p>
      <w:r>
        <w:br w:type="page"/>
      </w:r>
    </w:p>
    <w:p>
      <w:pPr>
        <w:pStyle w:val="Title"/>
      </w:pPr>
      <w:r>
        <w:t>Before the change</w:t>
      </w:r>
    </w:p>
    <w:p>
      <w:r>
        <w:t>Status options: Done / Not applicable / Blocked. Add evidence, dates and owners; extend the rows as needed.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3298"/>
        <w:gridCol w:w="3298"/>
        <w:gridCol w:w="3298"/>
      </w:tblGrid>
      <w:tr>
        <w:trPr>
          <w:cantSplit/>
        </w:trPr>
        <w:tc>
          <w:tcPr>
            <w:tcW w:type="dxa" w:w="4968"/>
            <w:shd w:fill="F5F1FB"/>
          </w:tcPr>
          <w:p>
            <w:r>
              <w:t>Check</w:t>
            </w:r>
          </w:p>
        </w:tc>
        <w:tc>
          <w:tcPr>
            <w:tcW w:type="dxa" w:w="1440"/>
            <w:shd w:fill="F5F1FB"/>
          </w:tcPr>
          <w:p>
            <w:r>
              <w:t>Owner</w:t>
            </w:r>
          </w:p>
        </w:tc>
        <w:tc>
          <w:tcPr>
            <w:tcW w:type="dxa" w:w="3384"/>
            <w:shd w:fill="F5F1FB"/>
          </w:tcPr>
          <w:p>
            <w:r>
              <w:t>Status and evidence</w:t>
            </w:r>
          </w:p>
        </w:tc>
      </w:tr>
      <w:tr>
        <w:trPr>
          <w:cantSplit/>
        </w:trPr>
        <w:tc>
          <w:tcPr>
            <w:tcW w:type="dxa" w:w="4968"/>
          </w:tcPr>
          <w:p>
            <w:r>
              <w:t>Confirm the registered holder, authorised approver and registrar account recovery contact.</w:t>
            </w:r>
          </w:p>
        </w:tc>
        <w:tc>
          <w:tcPr>
            <w:tcW w:type="dxa" w:w="1440"/>
          </w:tcPr>
          <w:p>
            <w:r/>
          </w:p>
        </w:tc>
        <w:tc>
          <w:tcPr>
            <w:tcW w:type="dxa" w:w="3384"/>
          </w:tcPr>
          <w:p>
            <w:r/>
          </w:p>
        </w:tc>
      </w:tr>
      <w:tr>
        <w:trPr>
          <w:cantSplit/>
        </w:trPr>
        <w:tc>
          <w:tcPr>
            <w:tcW w:type="dxa" w:w="4968"/>
          </w:tcPr>
          <w:p>
            <w:r>
              <w:t>Record expiry and renewal settings. Confirm transfer requirements with both providers for this extension.</w:t>
            </w:r>
          </w:p>
        </w:tc>
        <w:tc>
          <w:tcPr>
            <w:tcW w:type="dxa" w:w="1440"/>
          </w:tcPr>
          <w:p>
            <w:r/>
          </w:p>
        </w:tc>
        <w:tc>
          <w:tcPr>
            <w:tcW w:type="dxa" w:w="3384"/>
          </w:tcPr>
          <w:p>
            <w:r/>
          </w:p>
        </w:tc>
      </w:tr>
      <w:tr>
        <w:trPr>
          <w:cantSplit/>
        </w:trPr>
        <w:tc>
          <w:tcPr>
            <w:tcW w:type="dxa" w:w="4968"/>
          </w:tcPr>
          <w:p>
            <w:r>
              <w:t>Record current nameservers and DNS provider. Export the complete zone from that provider.</w:t>
            </w:r>
          </w:p>
        </w:tc>
        <w:tc>
          <w:tcPr>
            <w:tcW w:type="dxa" w:w="1440"/>
          </w:tcPr>
          <w:p>
            <w:r/>
          </w:p>
        </w:tc>
        <w:tc>
          <w:tcPr>
            <w:tcW w:type="dxa" w:w="3384"/>
          </w:tcPr>
          <w:p>
            <w:r/>
          </w:p>
        </w:tc>
      </w:tr>
      <w:tr>
        <w:trPr>
          <w:cantSplit/>
        </w:trPr>
        <w:tc>
          <w:tcPr>
            <w:tcW w:type="dxa" w:w="4968"/>
          </w:tcPr>
          <w:p>
            <w:r>
              <w:t>List the website, email, subdomains and third-party services that depend on the domain.</w:t>
            </w:r>
          </w:p>
        </w:tc>
        <w:tc>
          <w:tcPr>
            <w:tcW w:type="dxa" w:w="1440"/>
          </w:tcPr>
          <w:p>
            <w:r/>
          </w:p>
        </w:tc>
        <w:tc>
          <w:tcPr>
            <w:tcW w:type="dxa" w:w="3384"/>
          </w:tcPr>
          <w:p>
            <w:r/>
          </w:p>
        </w:tc>
      </w:tr>
      <w:tr>
        <w:trPr>
          <w:cantSplit/>
        </w:trPr>
        <w:tc>
          <w:tcPr>
            <w:tcW w:type="dxa" w:w="4968"/>
          </w:tcPr>
          <w:p>
            <w:r>
              <w:t>Confirm whether existing DNS and other hosting will remain active after the transfer.</w:t>
            </w:r>
          </w:p>
        </w:tc>
        <w:tc>
          <w:tcPr>
            <w:tcW w:type="dxa" w:w="1440"/>
          </w:tcPr>
          <w:p>
            <w:r/>
          </w:p>
        </w:tc>
        <w:tc>
          <w:tcPr>
            <w:tcW w:type="dxa" w:w="3384"/>
          </w:tcPr>
          <w:p>
            <w:r/>
          </w:p>
        </w:tc>
      </w:tr>
      <w:tr>
        <w:trPr>
          <w:cantSplit/>
        </w:trPr>
        <w:tc>
          <w:tcPr>
            <w:tcW w:type="dxa" w:w="4968"/>
          </w:tcPr>
          <w:p>
            <w:r>
              <w:t>Agree DNSSEC handling with both providers; an incorrect DS record can prevent resolution.</w:t>
            </w:r>
          </w:p>
        </w:tc>
        <w:tc>
          <w:tcPr>
            <w:tcW w:type="dxa" w:w="1440"/>
          </w:tcPr>
          <w:p>
            <w:r/>
          </w:p>
        </w:tc>
        <w:tc>
          <w:tcPr>
            <w:tcW w:type="dxa" w:w="3384"/>
          </w:tcPr>
          <w:p>
            <w:r/>
          </w:p>
        </w:tc>
      </w:tr>
      <w:tr>
        <w:trPr>
          <w:cantSplit/>
        </w:trPr>
        <w:tc>
          <w:tcPr>
            <w:tcW w:type="dxa" w:w="4968"/>
          </w:tcPr>
          <w:p>
            <w:r>
              <w:t>If DNS is moving, prepare and verify the replacement zone before changing nameservers.</w:t>
            </w:r>
          </w:p>
        </w:tc>
        <w:tc>
          <w:tcPr>
            <w:tcW w:type="dxa" w:w="1440"/>
          </w:tcPr>
          <w:p>
            <w:r/>
          </w:p>
        </w:tc>
        <w:tc>
          <w:tcPr>
            <w:tcW w:type="dxa" w:w="3384"/>
          </w:tcPr>
          <w:p>
            <w:r/>
          </w:p>
        </w:tc>
      </w:tr>
      <w:tr>
        <w:trPr>
          <w:cantSplit/>
        </w:trPr>
        <w:tc>
          <w:tcPr>
            <w:tcW w:type="dxa" w:w="4968"/>
          </w:tcPr>
          <w:p>
            <w:r>
              <w:t>Agree checks, the observation period and a rollback plan with named owners.</w:t>
            </w:r>
          </w:p>
        </w:tc>
        <w:tc>
          <w:tcPr>
            <w:tcW w:type="dxa" w:w="1440"/>
          </w:tcPr>
          <w:p>
            <w:r/>
          </w:p>
        </w:tc>
        <w:tc>
          <w:tcPr>
            <w:tcW w:type="dxa" w:w="3384"/>
          </w:tcPr>
          <w:p>
            <w:r/>
          </w:p>
        </w:tc>
      </w:tr>
    </w:tbl>
    <w:p>
      <w:pPr>
        <w:pStyle w:val="Heading2"/>
      </w:pPr>
      <w:r>
        <w:t>Decisions and exceptions</w:t>
      </w:r>
    </w:p>
    <w:p>
      <w:r>
        <w:br/>
        <w:br/>
      </w:r>
    </w:p>
    <w:p>
      <w:r>
        <w:br w:type="page"/>
      </w:r>
    </w:p>
    <w:p>
      <w:pPr>
        <w:pStyle w:val="Title"/>
      </w:pPr>
      <w:r>
        <w:t>During and after the change</w:t>
      </w:r>
    </w:p>
    <w:p>
      <w:r>
        <w:t>Status options: Done / Not applicable / Blocked. Add evidence, dates and owners; extend the rows as needed.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3298"/>
        <w:gridCol w:w="3298"/>
        <w:gridCol w:w="3298"/>
      </w:tblGrid>
      <w:tr>
        <w:trPr>
          <w:cantSplit/>
        </w:trPr>
        <w:tc>
          <w:tcPr>
            <w:tcW w:type="dxa" w:w="4968"/>
            <w:shd w:fill="F5F1FB"/>
          </w:tcPr>
          <w:p>
            <w:r>
              <w:t>Check</w:t>
            </w:r>
          </w:p>
        </w:tc>
        <w:tc>
          <w:tcPr>
            <w:tcW w:type="dxa" w:w="1440"/>
            <w:shd w:fill="F5F1FB"/>
          </w:tcPr>
          <w:p>
            <w:r>
              <w:t>Owner</w:t>
            </w:r>
          </w:p>
        </w:tc>
        <w:tc>
          <w:tcPr>
            <w:tcW w:type="dxa" w:w="3384"/>
            <w:shd w:fill="F5F1FB"/>
          </w:tcPr>
          <w:p>
            <w:r>
              <w:t>Status and evidence</w:t>
            </w:r>
          </w:p>
        </w:tc>
      </w:tr>
      <w:tr>
        <w:trPr>
          <w:cantSplit/>
        </w:trPr>
        <w:tc>
          <w:tcPr>
            <w:tcW w:type="dxa" w:w="4968"/>
          </w:tcPr>
          <w:p>
            <w:r>
              <w:t>Obtain the required authorisation securely and carry out only the approved changes.</w:t>
            </w:r>
          </w:p>
        </w:tc>
        <w:tc>
          <w:tcPr>
            <w:tcW w:type="dxa" w:w="1440"/>
          </w:tcPr>
          <w:p>
            <w:r/>
          </w:p>
        </w:tc>
        <w:tc>
          <w:tcPr>
            <w:tcW w:type="dxa" w:w="3384"/>
          </w:tcPr>
          <w:p>
            <w:r/>
          </w:p>
        </w:tc>
      </w:tr>
      <w:tr>
        <w:trPr>
          <w:cantSplit/>
        </w:trPr>
        <w:tc>
          <w:tcPr>
            <w:tcW w:type="dxa" w:w="4968"/>
          </w:tcPr>
          <w:p>
            <w:r>
              <w:t>Check registrar transfer status, nameservers and renewal arrangements.</w:t>
            </w:r>
          </w:p>
        </w:tc>
        <w:tc>
          <w:tcPr>
            <w:tcW w:type="dxa" w:w="1440"/>
          </w:tcPr>
          <w:p>
            <w:r/>
          </w:p>
        </w:tc>
        <w:tc>
          <w:tcPr>
            <w:tcW w:type="dxa" w:w="3384"/>
          </w:tcPr>
          <w:p>
            <w:r/>
          </w:p>
        </w:tc>
      </w:tr>
      <w:tr>
        <w:trPr>
          <w:cantSplit/>
        </w:trPr>
        <w:tc>
          <w:tcPr>
            <w:tcW w:type="dxa" w:w="4968"/>
          </w:tcPr>
          <w:p>
            <w:r>
              <w:t>Check the website, HTTPS, forms and important subdomains using agreed test cases.</w:t>
            </w:r>
          </w:p>
        </w:tc>
        <w:tc>
          <w:tcPr>
            <w:tcW w:type="dxa" w:w="1440"/>
          </w:tcPr>
          <w:p>
            <w:r/>
          </w:p>
        </w:tc>
        <w:tc>
          <w:tcPr>
            <w:tcW w:type="dxa" w:w="3384"/>
          </w:tcPr>
          <w:p>
            <w:r/>
          </w:p>
        </w:tc>
      </w:tr>
      <w:tr>
        <w:trPr>
          <w:cantSplit/>
        </w:trPr>
        <w:tc>
          <w:tcPr>
            <w:tcW w:type="dxa" w:w="4968"/>
          </w:tcPr>
          <w:p>
            <w:r>
              <w:t>If mail is used, test inbound and outbound delivery and verify relevant mail DNS records.</w:t>
            </w:r>
          </w:p>
        </w:tc>
        <w:tc>
          <w:tcPr>
            <w:tcW w:type="dxa" w:w="1440"/>
          </w:tcPr>
          <w:p>
            <w:r/>
          </w:p>
        </w:tc>
        <w:tc>
          <w:tcPr>
            <w:tcW w:type="dxa" w:w="3384"/>
          </w:tcPr>
          <w:p>
            <w:r/>
          </w:p>
        </w:tc>
      </w:tr>
      <w:tr>
        <w:trPr>
          <w:cantSplit/>
        </w:trPr>
        <w:tc>
          <w:tcPr>
            <w:tcW w:type="dxa" w:w="4968"/>
          </w:tcPr>
          <w:p>
            <w:r>
              <w:t>Check old and new DNS responses during the agreed observation period. Cached answers may differ.</w:t>
            </w:r>
          </w:p>
        </w:tc>
        <w:tc>
          <w:tcPr>
            <w:tcW w:type="dxa" w:w="1440"/>
          </w:tcPr>
          <w:p>
            <w:r/>
          </w:p>
        </w:tc>
        <w:tc>
          <w:tcPr>
            <w:tcW w:type="dxa" w:w="3384"/>
          </w:tcPr>
          <w:p>
            <w:r/>
          </w:p>
        </w:tc>
      </w:tr>
      <w:tr>
        <w:trPr>
          <w:cantSplit/>
        </w:trPr>
        <w:tc>
          <w:tcPr>
            <w:tcW w:type="dxa" w:w="4968"/>
          </w:tcPr>
          <w:p>
            <w:r>
              <w:t>If checks fail, contact the named coordinator and follow the agreed rollback plan. DNS rollback is not instant.</w:t>
            </w:r>
          </w:p>
        </w:tc>
        <w:tc>
          <w:tcPr>
            <w:tcW w:type="dxa" w:w="1440"/>
          </w:tcPr>
          <w:p>
            <w:r/>
          </w:p>
        </w:tc>
        <w:tc>
          <w:tcPr>
            <w:tcW w:type="dxa" w:w="3384"/>
          </w:tcPr>
          <w:p>
            <w:r/>
          </w:p>
        </w:tc>
      </w:tr>
      <w:tr>
        <w:trPr>
          <w:cantSplit/>
        </w:trPr>
        <w:tc>
          <w:tcPr>
            <w:tcW w:type="dxa" w:w="4968"/>
          </w:tcPr>
          <w:p>
            <w:r>
              <w:t>Keep old services until the agreed checks and observation period are complete.</w:t>
            </w:r>
          </w:p>
        </w:tc>
        <w:tc>
          <w:tcPr>
            <w:tcW w:type="dxa" w:w="1440"/>
          </w:tcPr>
          <w:p>
            <w:r/>
          </w:p>
        </w:tc>
        <w:tc>
          <w:tcPr>
            <w:tcW w:type="dxa" w:w="3384"/>
          </w:tcPr>
          <w:p>
            <w:r/>
          </w:p>
        </w:tc>
      </w:tr>
      <w:tr>
        <w:trPr>
          <w:cantSplit/>
        </w:trPr>
        <w:tc>
          <w:tcPr>
            <w:tcW w:type="dxa" w:w="4968"/>
          </w:tcPr>
          <w:p>
            <w:r>
              <w:t>Record final access, ownership and support arrangements; obtain approver sign-off.</w:t>
            </w:r>
          </w:p>
        </w:tc>
        <w:tc>
          <w:tcPr>
            <w:tcW w:type="dxa" w:w="1440"/>
          </w:tcPr>
          <w:p>
            <w:r/>
          </w:p>
        </w:tc>
        <w:tc>
          <w:tcPr>
            <w:tcW w:type="dxa" w:w="3384"/>
          </w:tcPr>
          <w:p>
            <w:r/>
          </w:p>
        </w:tc>
      </w:tr>
    </w:tbl>
    <w:p>
      <w:pPr>
        <w:pStyle w:val="Heading2"/>
      </w:pPr>
      <w:r>
        <w:t>Decisions and exceptions</w:t>
      </w:r>
    </w:p>
    <w:p>
      <w:r>
        <w:br/>
        <w:br/>
      </w:r>
    </w:p>
    <w:p>
      <w:r>
        <w:br w:type="page"/>
      </w:r>
    </w:p>
    <w:p>
      <w:pPr>
        <w:pStyle w:val="Title"/>
      </w:pPr>
      <w:r>
        <w:t>Completed fictional example</w:t>
      </w:r>
    </w:p>
    <w:p>
      <w:r>
        <w:t>Example Company is changing registrar for example.com on 20 October 2026. Website, email and DNS hosting stay with their existing providers. This is an illustration, not a real client record or guaranteed timetable.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46"/>
        <w:gridCol w:w="4946"/>
      </w:tblGrid>
      <w:tr>
        <w:trPr>
          <w:cantSplit/>
        </w:trPr>
        <w:tc>
          <w:tcPr>
            <w:tcW w:type="dxa" w:w="4946"/>
            <w:shd w:fill="F5F1FB"/>
          </w:tcPr>
          <w:p>
            <w:r>
              <w:t>Check</w:t>
            </w:r>
          </w:p>
        </w:tc>
        <w:tc>
          <w:tcPr>
            <w:tcW w:type="dxa" w:w="4946"/>
            <w:shd w:fill="F5F1FB"/>
          </w:tcPr>
          <w:p>
            <w:r>
              <w:t>Completed example</w:t>
            </w:r>
          </w:p>
        </w:tc>
      </w:tr>
      <w:tr>
        <w:trPr>
          <w:cantSplit/>
        </w:trPr>
        <w:tc>
          <w:tcPr>
            <w:tcW w:type="dxa" w:w="4946"/>
          </w:tcPr>
          <w:p>
            <w:r>
              <w:t>Scope and ownership</w:t>
            </w:r>
          </w:p>
        </w:tc>
        <w:tc>
          <w:tcPr>
            <w:tcW w:type="dxa" w:w="4946"/>
          </w:tcPr>
          <w:p>
            <w:r>
              <w:t>Alex is the business approver; Sam coordinates. Registrar only. Both confirm scope in the change record.</w:t>
            </w:r>
          </w:p>
        </w:tc>
      </w:tr>
      <w:tr>
        <w:trPr>
          <w:cantSplit/>
        </w:trPr>
        <w:tc>
          <w:tcPr>
            <w:tcW w:type="dxa" w:w="4946"/>
          </w:tcPr>
          <w:p>
            <w:r>
              <w:t>Access and eligibility</w:t>
            </w:r>
          </w:p>
        </w:tc>
        <w:tc>
          <w:tcPr>
            <w:tcW w:type="dxa" w:w="4946"/>
          </w:tcPr>
          <w:p>
            <w:r>
              <w:t>Registrar access and recovery contact checked. Both providers confirm eligibility and authorisation requirements. No credentials copied into this pack.</w:t>
            </w:r>
          </w:p>
        </w:tc>
      </w:tr>
      <w:tr>
        <w:trPr>
          <w:cantSplit/>
        </w:trPr>
        <w:tc>
          <w:tcPr>
            <w:tcW w:type="dxa" w:w="4946"/>
          </w:tcPr>
          <w:p>
            <w:r>
              <w:t>DNS and services</w:t>
            </w:r>
          </w:p>
        </w:tc>
        <w:tc>
          <w:tcPr>
            <w:tcW w:type="dxa" w:w="4946"/>
          </w:tcPr>
          <w:p>
            <w:r>
              <w:t>Nameservers recorded; zone export saved in the private project folder. DNS provider confirms the service will remain active after registrar transfer. DNSSEC reviewed with providers.</w:t>
            </w:r>
          </w:p>
        </w:tc>
      </w:tr>
      <w:tr>
        <w:trPr>
          <w:cantSplit/>
        </w:trPr>
        <w:tc>
          <w:tcPr>
            <w:tcW w:type="dxa" w:w="4946"/>
          </w:tcPr>
          <w:p>
            <w:r>
              <w:t>Checks and rollback</w:t>
            </w:r>
          </w:p>
        </w:tc>
        <w:tc>
          <w:tcPr>
            <w:tcW w:type="dxa" w:w="4946"/>
          </w:tcPr>
          <w:p>
            <w:r>
              <w:t>Website, HTTPS, contact form and inbound/outbound mail test cases recorded. Current providers retained; escalation contacts confirmed.</w:t>
            </w:r>
          </w:p>
        </w:tc>
      </w:tr>
      <w:tr>
        <w:trPr>
          <w:cantSplit/>
        </w:trPr>
        <w:tc>
          <w:tcPr>
            <w:tcW w:type="dxa" w:w="4946"/>
          </w:tcPr>
          <w:p>
            <w:r>
              <w:t>After transfer</w:t>
            </w:r>
          </w:p>
        </w:tc>
        <w:tc>
          <w:tcPr>
            <w:tcW w:type="dxa" w:w="4946"/>
          </w:tcPr>
          <w:p>
            <w:r>
              <w:t>New registrar confirms completion. Nameservers unchanged. Website and mail checks pass. Renewal contact and settings verified.</w:t>
            </w:r>
          </w:p>
        </w:tc>
      </w:tr>
      <w:tr>
        <w:trPr>
          <w:cantSplit/>
        </w:trPr>
        <w:tc>
          <w:tcPr>
            <w:tcW w:type="dxa" w:w="4946"/>
          </w:tcPr>
          <w:p>
            <w:r>
              <w:t>Sign-off</w:t>
            </w:r>
          </w:p>
        </w:tc>
        <w:tc>
          <w:tcPr>
            <w:tcW w:type="dxa" w:w="4946"/>
          </w:tcPr>
          <w:p>
            <w:r>
              <w:t>Alex approves closure after the agreed observation period; remaining access is recorded in the secure account register.</w:t>
            </w:r>
          </w:p>
        </w:tc>
      </w:tr>
    </w:tbl>
    <w:p>
      <w:r>
        <w:t>If the old provider says DNS hosting ends when the domain leaves, stop and plan the DNS move before the registrar transfer. A public DNS lookup is not a substitute for the full zone export.</w:t>
      </w:r>
    </w:p>
    <w:p>
      <w:pPr>
        <w:pStyle w:val="Heading2"/>
      </w:pPr>
      <w:r>
        <w:t>Need help with your handover</w:t>
      </w:r>
    </w:p>
    <w:p>
      <w:r>
        <w:t>Visit https://hostme.ie/services/domains/ or WhatsApp hostme.ie on 089 960 2794. Tell us the domain and what you want to move; do not send passwords in your first message.</w:t>
      </w:r>
    </w:p>
    <w:p>
      <w:pPr>
        <w:pStyle w:val="Heading2"/>
      </w:pPr>
      <w:r>
        <w:t>Provider guidance</w:t>
      </w:r>
    </w:p>
    <w:p>
      <w:r>
        <w:t>Checked 10 September 2026. Confirm current rules for your extension before acting.</w:t>
        <w:br/>
        <w:t>.ie registry: https://www.weare.ie/how-to-update-your-details/</w:t>
        <w:br/>
        <w:t>ICANN transfer FAQs for generic domains: https://www.icann.org/resources/pages/name-holder-faqs-2017-10-10-en</w:t>
      </w:r>
    </w:p>
    <w:sectPr w:rsidR="00FC693F" w:rsidRPr="0006063C" w:rsidSect="00034616">
      <w:headerReference w:type="default" r:id="rId9"/>
      <w:footerReference w:type="default" r:id="rId10"/>
      <w:pgSz w:w="11909" w:h="16834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>hostme.ie   •   Domain handover pack   •   Version 1   •   September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color w:val="6D28D9"/>
      </w:rPr>
      <w:t>hostme.ie   |   Practical business tools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A1A2E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A1A2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000000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40"/>
    </w:pPr>
    <w:rPr>
      <w:rFonts w:ascii="Calibri" w:hAnsi="Calibri"/>
      <w:sz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